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CB4EC" w14:textId="3350DAA7" w:rsidR="000F5577" w:rsidRPr="009B1825" w:rsidRDefault="00E7676D" w:rsidP="000F55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Zarządzenie Nr 66</w:t>
      </w:r>
      <w:r w:rsidR="000F5577" w:rsidRPr="009B1825">
        <w:rPr>
          <w:rFonts w:ascii="Arial" w:hAnsi="Arial" w:cs="Arial"/>
          <w:b/>
          <w:sz w:val="22"/>
          <w:szCs w:val="22"/>
        </w:rPr>
        <w:t>/24</w:t>
      </w:r>
      <w:r w:rsidR="007566E7">
        <w:rPr>
          <w:rFonts w:ascii="Arial" w:hAnsi="Arial" w:cs="Arial"/>
          <w:b/>
          <w:sz w:val="22"/>
          <w:szCs w:val="22"/>
        </w:rPr>
        <w:t xml:space="preserve">                                  </w:t>
      </w:r>
    </w:p>
    <w:p w14:paraId="1DB5AFE2" w14:textId="77777777" w:rsidR="000F5577" w:rsidRPr="009B1825" w:rsidRDefault="000F5577" w:rsidP="000F5577">
      <w:pPr>
        <w:jc w:val="center"/>
        <w:rPr>
          <w:rFonts w:ascii="Arial" w:hAnsi="Arial" w:cs="Arial"/>
          <w:b/>
          <w:sz w:val="22"/>
          <w:szCs w:val="22"/>
        </w:rPr>
      </w:pPr>
      <w:r w:rsidRPr="009B1825">
        <w:rPr>
          <w:rFonts w:ascii="Arial" w:hAnsi="Arial" w:cs="Arial"/>
          <w:b/>
          <w:sz w:val="22"/>
          <w:szCs w:val="22"/>
        </w:rPr>
        <w:t xml:space="preserve">Starosty Siemiatyckiego </w:t>
      </w:r>
    </w:p>
    <w:p w14:paraId="5E29252D" w14:textId="3DEDE784" w:rsidR="000F5577" w:rsidRPr="009B1825" w:rsidRDefault="000F5577" w:rsidP="000F5577">
      <w:pPr>
        <w:jc w:val="center"/>
        <w:rPr>
          <w:rFonts w:ascii="Arial" w:hAnsi="Arial" w:cs="Arial"/>
          <w:b/>
          <w:sz w:val="22"/>
          <w:szCs w:val="22"/>
        </w:rPr>
      </w:pPr>
      <w:r w:rsidRPr="009B1825">
        <w:rPr>
          <w:rFonts w:ascii="Arial" w:hAnsi="Arial" w:cs="Arial"/>
          <w:b/>
          <w:sz w:val="22"/>
          <w:szCs w:val="22"/>
        </w:rPr>
        <w:t xml:space="preserve">z dnia </w:t>
      </w:r>
      <w:r w:rsidR="00E7676D">
        <w:rPr>
          <w:rFonts w:ascii="Arial" w:hAnsi="Arial" w:cs="Arial"/>
          <w:b/>
          <w:sz w:val="22"/>
          <w:szCs w:val="22"/>
        </w:rPr>
        <w:t>1</w:t>
      </w:r>
      <w:r w:rsidR="00E40433">
        <w:rPr>
          <w:rFonts w:ascii="Arial" w:hAnsi="Arial" w:cs="Arial"/>
          <w:b/>
          <w:sz w:val="22"/>
          <w:szCs w:val="22"/>
        </w:rPr>
        <w:t>3</w:t>
      </w:r>
      <w:r w:rsidR="00217891">
        <w:rPr>
          <w:rFonts w:ascii="Arial" w:hAnsi="Arial" w:cs="Arial"/>
          <w:b/>
          <w:sz w:val="22"/>
          <w:szCs w:val="22"/>
        </w:rPr>
        <w:t xml:space="preserve"> grudnia </w:t>
      </w:r>
      <w:r w:rsidRPr="009B1825">
        <w:rPr>
          <w:rFonts w:ascii="Arial" w:hAnsi="Arial" w:cs="Arial"/>
          <w:b/>
          <w:sz w:val="22"/>
          <w:szCs w:val="22"/>
        </w:rPr>
        <w:t xml:space="preserve"> 2024 r.</w:t>
      </w:r>
    </w:p>
    <w:p w14:paraId="6B841267" w14:textId="77777777" w:rsidR="000F5577" w:rsidRPr="009B1825" w:rsidRDefault="000F5577" w:rsidP="000F5577">
      <w:pPr>
        <w:jc w:val="center"/>
        <w:rPr>
          <w:rFonts w:ascii="Arial" w:hAnsi="Arial" w:cs="Arial"/>
          <w:sz w:val="22"/>
          <w:szCs w:val="22"/>
        </w:rPr>
      </w:pPr>
    </w:p>
    <w:p w14:paraId="44C2D834" w14:textId="1A391F6E" w:rsidR="000F5577" w:rsidRPr="009B1825" w:rsidRDefault="000F5577" w:rsidP="000F5577">
      <w:pPr>
        <w:jc w:val="center"/>
        <w:rPr>
          <w:rFonts w:ascii="Arial" w:hAnsi="Arial" w:cs="Arial"/>
          <w:b/>
          <w:sz w:val="22"/>
          <w:szCs w:val="22"/>
        </w:rPr>
      </w:pPr>
      <w:r w:rsidRPr="009B1825">
        <w:rPr>
          <w:rFonts w:ascii="Arial" w:hAnsi="Arial" w:cs="Arial"/>
          <w:b/>
          <w:sz w:val="22"/>
          <w:szCs w:val="22"/>
        </w:rPr>
        <w:t xml:space="preserve">w sprawie </w:t>
      </w:r>
      <w:r w:rsidR="00CE1813" w:rsidRPr="009B1825">
        <w:rPr>
          <w:rFonts w:ascii="Arial" w:hAnsi="Arial" w:cs="Arial"/>
          <w:b/>
          <w:sz w:val="22"/>
          <w:szCs w:val="22"/>
        </w:rPr>
        <w:t>ustalenia</w:t>
      </w:r>
      <w:r w:rsidRPr="009B1825">
        <w:rPr>
          <w:rFonts w:ascii="Arial" w:hAnsi="Arial" w:cs="Arial"/>
          <w:b/>
          <w:sz w:val="22"/>
          <w:szCs w:val="22"/>
        </w:rPr>
        <w:t xml:space="preserve"> </w:t>
      </w:r>
      <w:r w:rsidR="00E7676D">
        <w:rPr>
          <w:rFonts w:ascii="Arial" w:hAnsi="Arial" w:cs="Arial"/>
          <w:b/>
          <w:sz w:val="22"/>
          <w:szCs w:val="22"/>
        </w:rPr>
        <w:t>P</w:t>
      </w:r>
      <w:r w:rsidRPr="009B1825">
        <w:rPr>
          <w:rFonts w:ascii="Arial" w:hAnsi="Arial" w:cs="Arial"/>
          <w:b/>
          <w:sz w:val="22"/>
          <w:szCs w:val="22"/>
        </w:rPr>
        <w:t xml:space="preserve">rocedury </w:t>
      </w:r>
      <w:r w:rsidR="00E7676D">
        <w:rPr>
          <w:rFonts w:ascii="Arial" w:hAnsi="Arial" w:cs="Arial"/>
          <w:b/>
          <w:sz w:val="22"/>
          <w:szCs w:val="22"/>
        </w:rPr>
        <w:t>przyjmowania zgłoszeń zewnętrznych o naruszeniach prawa</w:t>
      </w:r>
    </w:p>
    <w:p w14:paraId="01ED1431" w14:textId="77777777" w:rsidR="000F5577" w:rsidRPr="009B1825" w:rsidRDefault="000F5577" w:rsidP="000F5577">
      <w:pPr>
        <w:jc w:val="both"/>
        <w:rPr>
          <w:rFonts w:ascii="Arial" w:hAnsi="Arial" w:cs="Arial"/>
          <w:sz w:val="22"/>
          <w:szCs w:val="22"/>
        </w:rPr>
      </w:pPr>
    </w:p>
    <w:p w14:paraId="7F2C5258" w14:textId="40FF8197" w:rsidR="000F5577" w:rsidRPr="009B1825" w:rsidRDefault="000F5577" w:rsidP="000F5577">
      <w:pPr>
        <w:jc w:val="both"/>
        <w:rPr>
          <w:rFonts w:ascii="Arial" w:hAnsi="Arial" w:cs="Arial"/>
          <w:sz w:val="22"/>
          <w:szCs w:val="22"/>
        </w:rPr>
      </w:pPr>
      <w:r w:rsidRPr="009B1825">
        <w:rPr>
          <w:rFonts w:ascii="Arial" w:hAnsi="Arial" w:cs="Arial"/>
          <w:sz w:val="22"/>
          <w:szCs w:val="22"/>
        </w:rPr>
        <w:t xml:space="preserve">Na podstawie art. </w:t>
      </w:r>
      <w:r w:rsidR="00CE1813" w:rsidRPr="009B1825">
        <w:rPr>
          <w:rFonts w:ascii="Arial" w:hAnsi="Arial" w:cs="Arial"/>
          <w:sz w:val="22"/>
          <w:szCs w:val="22"/>
        </w:rPr>
        <w:t>3</w:t>
      </w:r>
      <w:r w:rsidRPr="009B1825">
        <w:rPr>
          <w:rFonts w:ascii="Arial" w:hAnsi="Arial" w:cs="Arial"/>
          <w:sz w:val="22"/>
          <w:szCs w:val="22"/>
        </w:rPr>
        <w:t>4</w:t>
      </w:r>
      <w:r w:rsidR="00CE1813" w:rsidRPr="009B1825">
        <w:rPr>
          <w:rFonts w:ascii="Arial" w:hAnsi="Arial" w:cs="Arial"/>
          <w:sz w:val="22"/>
          <w:szCs w:val="22"/>
        </w:rPr>
        <w:t xml:space="preserve"> ust. 1 </w:t>
      </w:r>
      <w:r w:rsidRPr="009B1825">
        <w:rPr>
          <w:rFonts w:ascii="Arial" w:hAnsi="Arial" w:cs="Arial"/>
          <w:sz w:val="22"/>
          <w:szCs w:val="22"/>
        </w:rPr>
        <w:t xml:space="preserve">ustawy z dnia </w:t>
      </w:r>
      <w:r w:rsidR="00CE1813" w:rsidRPr="009B1825">
        <w:rPr>
          <w:rFonts w:ascii="Arial" w:hAnsi="Arial" w:cs="Arial"/>
          <w:sz w:val="22"/>
          <w:szCs w:val="22"/>
        </w:rPr>
        <w:t>5 czerwca 1</w:t>
      </w:r>
      <w:r w:rsidRPr="009B1825">
        <w:rPr>
          <w:rFonts w:ascii="Arial" w:hAnsi="Arial" w:cs="Arial"/>
          <w:sz w:val="22"/>
          <w:szCs w:val="22"/>
        </w:rPr>
        <w:t>9</w:t>
      </w:r>
      <w:r w:rsidR="00CE1813" w:rsidRPr="009B1825">
        <w:rPr>
          <w:rFonts w:ascii="Arial" w:hAnsi="Arial" w:cs="Arial"/>
          <w:sz w:val="22"/>
          <w:szCs w:val="22"/>
        </w:rPr>
        <w:t>98</w:t>
      </w:r>
      <w:r w:rsidRPr="009B1825">
        <w:rPr>
          <w:rFonts w:ascii="Arial" w:hAnsi="Arial" w:cs="Arial"/>
          <w:sz w:val="22"/>
          <w:szCs w:val="22"/>
        </w:rPr>
        <w:t xml:space="preserve"> r. o</w:t>
      </w:r>
      <w:r w:rsidR="00057799">
        <w:rPr>
          <w:rFonts w:ascii="Arial" w:hAnsi="Arial" w:cs="Arial"/>
          <w:sz w:val="22"/>
          <w:szCs w:val="22"/>
        </w:rPr>
        <w:t xml:space="preserve"> samorządzie powiatowym (Dz. </w:t>
      </w:r>
      <w:r w:rsidR="00EF7740">
        <w:rPr>
          <w:rFonts w:ascii="Arial" w:hAnsi="Arial" w:cs="Arial"/>
          <w:sz w:val="22"/>
          <w:szCs w:val="22"/>
        </w:rPr>
        <w:t>U. </w:t>
      </w:r>
      <w:r w:rsidR="00CE1813" w:rsidRPr="009B1825">
        <w:rPr>
          <w:rFonts w:ascii="Arial" w:hAnsi="Arial" w:cs="Arial"/>
          <w:sz w:val="22"/>
          <w:szCs w:val="22"/>
        </w:rPr>
        <w:t>z 2024 r. poz. 107)</w:t>
      </w:r>
      <w:r w:rsidRPr="009B1825">
        <w:rPr>
          <w:rFonts w:ascii="Arial" w:hAnsi="Arial" w:cs="Arial"/>
          <w:sz w:val="22"/>
          <w:szCs w:val="22"/>
        </w:rPr>
        <w:t xml:space="preserve"> </w:t>
      </w:r>
      <w:r w:rsidR="00CE1813" w:rsidRPr="009B1825">
        <w:rPr>
          <w:rFonts w:ascii="Arial" w:hAnsi="Arial" w:cs="Arial"/>
          <w:sz w:val="22"/>
          <w:szCs w:val="22"/>
        </w:rPr>
        <w:t xml:space="preserve">oraz art. </w:t>
      </w:r>
      <w:r w:rsidR="00E7676D">
        <w:rPr>
          <w:rFonts w:ascii="Arial" w:hAnsi="Arial" w:cs="Arial"/>
          <w:sz w:val="22"/>
          <w:szCs w:val="22"/>
        </w:rPr>
        <w:t>33</w:t>
      </w:r>
      <w:r w:rsidR="00CE1813" w:rsidRPr="009B1825">
        <w:rPr>
          <w:rFonts w:ascii="Arial" w:hAnsi="Arial" w:cs="Arial"/>
          <w:sz w:val="22"/>
          <w:szCs w:val="22"/>
        </w:rPr>
        <w:t xml:space="preserve"> ustawy z dnia 14 czerwca 2024</w:t>
      </w:r>
      <w:r w:rsidR="00EF7740">
        <w:rPr>
          <w:rFonts w:ascii="Arial" w:hAnsi="Arial" w:cs="Arial"/>
          <w:sz w:val="22"/>
          <w:szCs w:val="22"/>
        </w:rPr>
        <w:t xml:space="preserve"> r. o ochronie sygnalistów (Dz. </w:t>
      </w:r>
      <w:r w:rsidR="00CE1813" w:rsidRPr="009B1825">
        <w:rPr>
          <w:rFonts w:ascii="Arial" w:hAnsi="Arial" w:cs="Arial"/>
          <w:sz w:val="22"/>
          <w:szCs w:val="22"/>
        </w:rPr>
        <w:t xml:space="preserve">U. poz. 928) </w:t>
      </w:r>
      <w:r w:rsidRPr="009B1825">
        <w:rPr>
          <w:rFonts w:ascii="Arial" w:hAnsi="Arial" w:cs="Arial"/>
          <w:sz w:val="22"/>
          <w:szCs w:val="22"/>
        </w:rPr>
        <w:t>zarządza się, co następuje:</w:t>
      </w:r>
    </w:p>
    <w:p w14:paraId="6260032A" w14:textId="77777777" w:rsidR="000F5577" w:rsidRPr="009B1825" w:rsidRDefault="000F5577" w:rsidP="000F5577">
      <w:pPr>
        <w:jc w:val="center"/>
        <w:rPr>
          <w:rFonts w:ascii="Arial" w:hAnsi="Arial" w:cs="Arial"/>
          <w:sz w:val="22"/>
          <w:szCs w:val="22"/>
        </w:rPr>
      </w:pPr>
      <w:r w:rsidRPr="009B1825">
        <w:rPr>
          <w:rFonts w:ascii="Arial" w:hAnsi="Arial" w:cs="Arial"/>
          <w:sz w:val="22"/>
          <w:szCs w:val="22"/>
        </w:rPr>
        <w:t>§ 1.</w:t>
      </w:r>
    </w:p>
    <w:p w14:paraId="49FA133A" w14:textId="0B5BD14E" w:rsidR="000F5577" w:rsidRPr="009B1825" w:rsidRDefault="00CE1813" w:rsidP="00CE1813">
      <w:pPr>
        <w:spacing w:line="256" w:lineRule="auto"/>
        <w:jc w:val="both"/>
        <w:rPr>
          <w:rFonts w:ascii="Arial" w:hAnsi="Arial" w:cs="Arial"/>
          <w:sz w:val="22"/>
          <w:szCs w:val="22"/>
        </w:rPr>
      </w:pPr>
      <w:r w:rsidRPr="009B1825">
        <w:rPr>
          <w:rFonts w:ascii="Arial" w:hAnsi="Arial" w:cs="Arial"/>
          <w:sz w:val="22"/>
          <w:szCs w:val="22"/>
        </w:rPr>
        <w:t xml:space="preserve">Ustala się </w:t>
      </w:r>
      <w:r w:rsidR="00F85AA7">
        <w:rPr>
          <w:rFonts w:ascii="Arial" w:hAnsi="Arial" w:cs="Arial"/>
          <w:sz w:val="22"/>
          <w:szCs w:val="22"/>
        </w:rPr>
        <w:t>P</w:t>
      </w:r>
      <w:r w:rsidRPr="009B1825">
        <w:rPr>
          <w:rFonts w:ascii="Arial" w:hAnsi="Arial" w:cs="Arial"/>
          <w:sz w:val="22"/>
          <w:szCs w:val="22"/>
        </w:rPr>
        <w:t xml:space="preserve">rocedurę </w:t>
      </w:r>
      <w:r w:rsidR="00E7676D">
        <w:rPr>
          <w:rFonts w:ascii="Arial" w:hAnsi="Arial" w:cs="Arial"/>
          <w:sz w:val="22"/>
          <w:szCs w:val="22"/>
        </w:rPr>
        <w:t>przyjmowania</w:t>
      </w:r>
      <w:r w:rsidRPr="009B1825">
        <w:rPr>
          <w:rFonts w:ascii="Arial" w:hAnsi="Arial" w:cs="Arial"/>
          <w:sz w:val="22"/>
          <w:szCs w:val="22"/>
        </w:rPr>
        <w:t xml:space="preserve"> zgłoszeń </w:t>
      </w:r>
      <w:r w:rsidR="00E7676D">
        <w:rPr>
          <w:rFonts w:ascii="Arial" w:hAnsi="Arial" w:cs="Arial"/>
          <w:sz w:val="22"/>
          <w:szCs w:val="22"/>
        </w:rPr>
        <w:t xml:space="preserve">zewnętrznych o </w:t>
      </w:r>
      <w:r w:rsidRPr="009B1825">
        <w:rPr>
          <w:rFonts w:ascii="Arial" w:hAnsi="Arial" w:cs="Arial"/>
          <w:sz w:val="22"/>
          <w:szCs w:val="22"/>
        </w:rPr>
        <w:t>n</w:t>
      </w:r>
      <w:r w:rsidR="00E7676D">
        <w:rPr>
          <w:rFonts w:ascii="Arial" w:hAnsi="Arial" w:cs="Arial"/>
          <w:sz w:val="22"/>
          <w:szCs w:val="22"/>
        </w:rPr>
        <w:t>aruszeniach prawa</w:t>
      </w:r>
      <w:r w:rsidRPr="009B1825">
        <w:rPr>
          <w:rFonts w:ascii="Arial" w:hAnsi="Arial" w:cs="Arial"/>
          <w:sz w:val="22"/>
          <w:szCs w:val="22"/>
        </w:rPr>
        <w:t>, w</w:t>
      </w:r>
      <w:r w:rsidR="00E7676D">
        <w:rPr>
          <w:rFonts w:ascii="Arial" w:hAnsi="Arial" w:cs="Arial"/>
          <w:sz w:val="22"/>
          <w:szCs w:val="22"/>
        </w:rPr>
        <w:t> </w:t>
      </w:r>
      <w:r w:rsidRPr="009B1825">
        <w:rPr>
          <w:rFonts w:ascii="Arial" w:hAnsi="Arial" w:cs="Arial"/>
          <w:sz w:val="22"/>
          <w:szCs w:val="22"/>
        </w:rPr>
        <w:t>brzmieniu określonym w załą</w:t>
      </w:r>
      <w:r w:rsidR="009B1825">
        <w:rPr>
          <w:rFonts w:ascii="Arial" w:hAnsi="Arial" w:cs="Arial"/>
          <w:sz w:val="22"/>
          <w:szCs w:val="22"/>
        </w:rPr>
        <w:t>czniku</w:t>
      </w:r>
      <w:r w:rsidRPr="009B1825">
        <w:rPr>
          <w:rFonts w:ascii="Arial" w:hAnsi="Arial" w:cs="Arial"/>
          <w:sz w:val="22"/>
          <w:szCs w:val="22"/>
        </w:rPr>
        <w:t xml:space="preserve"> do zarządzenia.</w:t>
      </w:r>
    </w:p>
    <w:p w14:paraId="19C06327" w14:textId="77777777" w:rsidR="000F5577" w:rsidRDefault="000F5577" w:rsidP="00CE1813">
      <w:pPr>
        <w:jc w:val="center"/>
        <w:rPr>
          <w:rFonts w:ascii="Arial" w:hAnsi="Arial" w:cs="Arial"/>
          <w:sz w:val="22"/>
          <w:szCs w:val="22"/>
        </w:rPr>
      </w:pPr>
      <w:r w:rsidRPr="009B1825">
        <w:rPr>
          <w:rFonts w:ascii="Arial" w:hAnsi="Arial" w:cs="Arial"/>
          <w:sz w:val="22"/>
          <w:szCs w:val="22"/>
        </w:rPr>
        <w:t>§ 2.</w:t>
      </w:r>
    </w:p>
    <w:p w14:paraId="495A8961" w14:textId="17E92FDD" w:rsidR="00CE1813" w:rsidRPr="00F85AA7" w:rsidRDefault="00CE1813" w:rsidP="00F85AA7">
      <w:pPr>
        <w:jc w:val="both"/>
        <w:rPr>
          <w:rFonts w:ascii="Arial" w:hAnsi="Arial" w:cs="Arial"/>
          <w:sz w:val="22"/>
          <w:szCs w:val="22"/>
        </w:rPr>
      </w:pPr>
      <w:r w:rsidRPr="00F85AA7">
        <w:rPr>
          <w:rFonts w:ascii="Arial" w:hAnsi="Arial" w:cs="Arial"/>
          <w:sz w:val="22"/>
          <w:szCs w:val="22"/>
        </w:rPr>
        <w:t>Wykonanie zarządzenia powierza się Sekretarzowi Powiatu.</w:t>
      </w:r>
    </w:p>
    <w:p w14:paraId="55187EAA" w14:textId="337A601E" w:rsidR="009B1825" w:rsidRPr="009B1825" w:rsidRDefault="009B1825" w:rsidP="009B1825">
      <w:pPr>
        <w:jc w:val="center"/>
        <w:rPr>
          <w:rFonts w:ascii="Arial" w:hAnsi="Arial" w:cs="Arial"/>
          <w:sz w:val="22"/>
          <w:szCs w:val="22"/>
        </w:rPr>
      </w:pPr>
      <w:r w:rsidRPr="009B1825">
        <w:rPr>
          <w:rFonts w:ascii="Arial" w:hAnsi="Arial" w:cs="Arial"/>
          <w:sz w:val="22"/>
          <w:szCs w:val="22"/>
        </w:rPr>
        <w:t xml:space="preserve">§ </w:t>
      </w:r>
      <w:r w:rsidR="00E7676D">
        <w:rPr>
          <w:rFonts w:ascii="Arial" w:hAnsi="Arial" w:cs="Arial"/>
          <w:sz w:val="22"/>
          <w:szCs w:val="22"/>
        </w:rPr>
        <w:t>3</w:t>
      </w:r>
      <w:r w:rsidRPr="009B1825">
        <w:rPr>
          <w:rFonts w:ascii="Arial" w:hAnsi="Arial" w:cs="Arial"/>
          <w:sz w:val="22"/>
          <w:szCs w:val="22"/>
        </w:rPr>
        <w:t>.</w:t>
      </w:r>
    </w:p>
    <w:p w14:paraId="04A882CC" w14:textId="57082862" w:rsidR="000F5577" w:rsidRPr="009B1825" w:rsidRDefault="000F5577" w:rsidP="000F5577">
      <w:pPr>
        <w:jc w:val="both"/>
        <w:rPr>
          <w:rFonts w:ascii="Arial" w:hAnsi="Arial" w:cs="Arial"/>
          <w:sz w:val="22"/>
          <w:szCs w:val="22"/>
        </w:rPr>
      </w:pPr>
      <w:r w:rsidRPr="009B1825">
        <w:rPr>
          <w:rFonts w:ascii="Arial" w:hAnsi="Arial" w:cs="Arial"/>
          <w:sz w:val="22"/>
          <w:szCs w:val="22"/>
        </w:rPr>
        <w:t xml:space="preserve">Zarządzenie wchodzi w życie </w:t>
      </w:r>
      <w:r w:rsidR="00E7676D">
        <w:rPr>
          <w:rFonts w:ascii="Arial" w:hAnsi="Arial" w:cs="Arial"/>
          <w:sz w:val="22"/>
          <w:szCs w:val="22"/>
        </w:rPr>
        <w:t>w dniu 25 grudnia 2024 r.</w:t>
      </w:r>
    </w:p>
    <w:p w14:paraId="4FAE855B" w14:textId="78C4F238" w:rsidR="009B1825" w:rsidRDefault="009B182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36455B" w14:textId="6598920F" w:rsidR="0086524C" w:rsidRPr="009B1825" w:rsidRDefault="00E7676D" w:rsidP="0086524C">
      <w:pPr>
        <w:spacing w:after="0" w:line="36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lastRenderedPageBreak/>
        <w:t>Załącznik do Zarządzenia Nr 66</w:t>
      </w:r>
      <w:r w:rsidR="009B182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>/24</w:t>
      </w:r>
    </w:p>
    <w:p w14:paraId="3C8F3A13" w14:textId="18DFA10A" w:rsidR="0086524C" w:rsidRPr="009B1825" w:rsidRDefault="0086524C" w:rsidP="0086524C">
      <w:pPr>
        <w:spacing w:after="0" w:line="36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</w:pPr>
      <w:r w:rsidRPr="009B1825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>Starosty Siemiatyckiego</w:t>
      </w:r>
    </w:p>
    <w:p w14:paraId="2ACD165C" w14:textId="694FA447" w:rsidR="0086524C" w:rsidRPr="009B1825" w:rsidRDefault="009B1825" w:rsidP="0086524C">
      <w:pPr>
        <w:spacing w:after="0" w:line="36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 xml:space="preserve">z dnia </w:t>
      </w:r>
      <w:r w:rsidR="00E7676D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>1</w:t>
      </w:r>
      <w:r w:rsidR="00E40433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>3</w:t>
      </w:r>
      <w:r w:rsidR="00E7676D"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 xml:space="preserve"> grudnia</w:t>
      </w: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 xml:space="preserve"> 2024 r.</w:t>
      </w:r>
    </w:p>
    <w:p w14:paraId="3D0DA10A" w14:textId="612B7893" w:rsidR="00C61189" w:rsidRPr="009B1825" w:rsidRDefault="009E2ADC" w:rsidP="009B1825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2"/>
          <w:szCs w:val="22"/>
          <w:lang w:eastAsia="pl-PL"/>
          <w14:ligatures w14:val="none"/>
        </w:rPr>
        <w:t>Procedura</w:t>
      </w:r>
      <w:r w:rsidR="009B1825" w:rsidRPr="009B1825">
        <w:rPr>
          <w:rFonts w:ascii="Arial" w:hAnsi="Arial" w:cs="Arial"/>
          <w:b/>
          <w:sz w:val="22"/>
          <w:szCs w:val="22"/>
        </w:rPr>
        <w:t xml:space="preserve"> </w:t>
      </w:r>
      <w:r w:rsidR="00E7676D">
        <w:rPr>
          <w:rFonts w:ascii="Arial" w:hAnsi="Arial" w:cs="Arial"/>
          <w:b/>
          <w:sz w:val="22"/>
          <w:szCs w:val="22"/>
        </w:rPr>
        <w:t>przyjmowania zgłoszeń zewnętrznych o naruszeniach prawa</w:t>
      </w:r>
    </w:p>
    <w:p w14:paraId="0DFDE3EA" w14:textId="4F191019" w:rsidR="00E7676D" w:rsidRPr="00A82E66" w:rsidRDefault="00E7676D" w:rsidP="00A82E66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sz w:val="22"/>
          <w:szCs w:val="22"/>
        </w:rPr>
        <w:t>§ </w:t>
      </w:r>
      <w:r w:rsidRPr="00A82E66">
        <w:rPr>
          <w:rFonts w:ascii="Arial" w:eastAsia="Times New Roman" w:hAnsi="Arial" w:cs="Arial"/>
          <w:b/>
          <w:sz w:val="22"/>
          <w:szCs w:val="22"/>
        </w:rPr>
        <w:t>1</w:t>
      </w:r>
      <w:r w:rsidRPr="00A82E66">
        <w:rPr>
          <w:rFonts w:ascii="Arial" w:eastAsia="Times New Roman" w:hAnsi="Arial" w:cs="Arial"/>
          <w:b/>
          <w:sz w:val="22"/>
          <w:szCs w:val="22"/>
        </w:rPr>
        <w:t>. </w:t>
      </w:r>
      <w:r w:rsidRPr="00A82E66">
        <w:rPr>
          <w:rFonts w:ascii="Arial" w:eastAsia="Times New Roman" w:hAnsi="Arial" w:cs="Arial"/>
          <w:sz w:val="22"/>
          <w:szCs w:val="22"/>
        </w:rPr>
        <w:t>1. Zgłoszenia zewnętrznego o naruszeniach prawa można dokonać:</w:t>
      </w:r>
    </w:p>
    <w:p w14:paraId="601D491E" w14:textId="4D4FFEE7" w:rsidR="00E7676D" w:rsidRPr="00A82E66" w:rsidRDefault="00E7676D" w:rsidP="00A82E66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1)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elektronicznie poprzez przesłanie </w:t>
      </w:r>
      <w:r w:rsidR="00A82E66"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wiadomości e-mail na adres: </w:t>
      </w:r>
      <w:hyperlink r:id="rId8" w:history="1">
        <w:r w:rsidR="00A82E66" w:rsidRPr="00EA7334">
          <w:rPr>
            <w:rStyle w:val="Hipercze"/>
            <w:rFonts w:ascii="Arial" w:eastAsia="Times New Roman" w:hAnsi="Arial" w:cs="Arial"/>
            <w:sz w:val="22"/>
            <w:szCs w:val="22"/>
            <w:u w:color="000000"/>
          </w:rPr>
          <w:t>starostazgloszenia@siemiatycze.pl</w:t>
        </w:r>
      </w:hyperlink>
      <w:r w:rsid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</w:t>
      </w:r>
    </w:p>
    <w:p w14:paraId="5E8AFE2E" w14:textId="7C6AD661" w:rsidR="00E7676D" w:rsidRPr="00A82E66" w:rsidRDefault="00E7676D" w:rsidP="00A82E66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pisemnie za pośrednictwem poczty tradycyjnej na adres: Starostwo Powiatowe w Siemiatyczach (dalej: Starostwo), ul. Legionów Piłsudskiego 3, 17-300 Siemiatycze z dopiskiem: "Sygnalista - zgłoszenie zewnętrzne, do rąk własnych„ i ze wskazaniem jako odbiorcy, danych upoważnionego pracownika Starostwa, zgodnie z § 4 (dalej: Przyjmujący);</w:t>
      </w:r>
      <w:bookmarkStart w:id="0" w:name="_GoBack"/>
      <w:bookmarkEnd w:id="0"/>
    </w:p>
    <w:p w14:paraId="15461556" w14:textId="77777777" w:rsidR="00E7676D" w:rsidRPr="00A82E66" w:rsidRDefault="00E7676D" w:rsidP="00A82E66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pisemnie poprzez doręczenie w zamkniętej kopercie Przyjmującemu;</w:t>
      </w:r>
    </w:p>
    <w:p w14:paraId="3CAD49ED" w14:textId="77777777" w:rsidR="00E7676D" w:rsidRPr="00A82E66" w:rsidRDefault="00E7676D" w:rsidP="00A82E66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Skrzynka e-mail, o której mowa w ust. 1 pkt 1, obsługiwana jest tylko przez Przyjmujących.</w:t>
      </w:r>
    </w:p>
    <w:p w14:paraId="5EF9E016" w14:textId="77777777" w:rsidR="00E7676D" w:rsidRPr="00A82E66" w:rsidRDefault="00E7676D" w:rsidP="00A82E66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Na wniosek sygnalisty zgłoszenia zewnętrznego można dokonać ustnie podczas bezpośredniego spotkania z Przyjmującym, na zasadach określonych w art. 26 ust. 6 ustawy o ochronie sygnalistów.</w:t>
      </w:r>
    </w:p>
    <w:p w14:paraId="3316A7C6" w14:textId="77777777" w:rsidR="00E7676D" w:rsidRPr="00A82E66" w:rsidRDefault="00E7676D" w:rsidP="00A82E66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4. 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Z ustnego przyjęcia zgłoszenia sporządza się protokół, odtwarzający dokładny jej przebieg, który podpisuje Przyjmujący oraz może podpisać osoba zgłaszająca.</w:t>
      </w:r>
    </w:p>
    <w:p w14:paraId="072F3378" w14:textId="77777777" w:rsidR="00E7676D" w:rsidRPr="00A82E66" w:rsidRDefault="00E7676D" w:rsidP="00A82E66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5. 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Przyjmujący przesyła sygnaliście niezwłocznie, nie później jednak niż w terminie 7 dni od dnia przyjęcia zgłoszenia, potwierdzenie jego przyjęcia, chyba że sygnalista wystąpił wyraźnie z odmiennym wnioskiem w tym zakresie lub istnieją uzasadnione podstawy by sądzić, że potwierdzenie przyjęcia zgłoszenia zagroziłoby ochronie poufności tożsamości sygnalisty.</w:t>
      </w:r>
    </w:p>
    <w:p w14:paraId="38D64295" w14:textId="77777777" w:rsidR="00E7676D" w:rsidRPr="00A82E66" w:rsidRDefault="00E7676D" w:rsidP="00A82E66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6. 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Przyjmujący przekazuje zgłoszenie Komisji ds. spraw zgłaszanych przez sygnalistów (dalej: Komisja), powołanej w Starostwie Powiatowym w Siemiatyczach upoważnionej do podejmowania działań następczych, z wyłączeniem danych osobowych sygnalisty.</w:t>
      </w:r>
    </w:p>
    <w:p w14:paraId="0EC52C9E" w14:textId="4DCAD19A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sz w:val="22"/>
          <w:szCs w:val="22"/>
        </w:rPr>
        <w:t>§ </w:t>
      </w:r>
      <w:r w:rsidR="00A82E66">
        <w:rPr>
          <w:rFonts w:ascii="Arial" w:eastAsia="Times New Roman" w:hAnsi="Arial" w:cs="Arial"/>
          <w:b/>
          <w:sz w:val="22"/>
          <w:szCs w:val="22"/>
        </w:rPr>
        <w:t>2</w:t>
      </w:r>
      <w:r w:rsidRPr="00A82E66">
        <w:rPr>
          <w:rFonts w:ascii="Arial" w:eastAsia="Times New Roman" w:hAnsi="Arial" w:cs="Arial"/>
          <w:b/>
          <w:sz w:val="22"/>
          <w:szCs w:val="22"/>
        </w:rPr>
        <w:t>. </w:t>
      </w:r>
      <w:r w:rsidRPr="00A82E66">
        <w:rPr>
          <w:rFonts w:ascii="Arial" w:eastAsia="Times New Roman" w:hAnsi="Arial" w:cs="Arial"/>
          <w:sz w:val="22"/>
          <w:szCs w:val="22"/>
        </w:rPr>
        <w:t>1. 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Zgłoszenie zewnętrzne zawiera:</w:t>
      </w:r>
    </w:p>
    <w:p w14:paraId="3D4D5EBF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1)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informację jakiego obszaru dotyczy zgłoszenie;</w:t>
      </w:r>
    </w:p>
    <w:p w14:paraId="5C38ABD0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opis nieprawidłowości - opis zgłaszanego incydentu, w tym kiedy, gdzie, w jaki sposób doszło do naruszenia prawa;</w:t>
      </w:r>
    </w:p>
    <w:p w14:paraId="05243005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wskazanie osoby, która dokonała, zamierza dokonać naruszenia prawa;</w:t>
      </w:r>
    </w:p>
    <w:p w14:paraId="5852E10B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4)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dane osobowe sygnalisty.</w:t>
      </w:r>
    </w:p>
    <w:p w14:paraId="7E9049CB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Zgłoszenie zewnętrzne może dodatkowo zawierać, w szczególności:</w:t>
      </w:r>
    </w:p>
    <w:p w14:paraId="006BF90B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1)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istotne informacje dodatkowe dotyczące naruszeń - świadkowie, dane osoby, która została pokrzywdzona na skutek nieprawidłowości;</w:t>
      </w:r>
    </w:p>
    <w:p w14:paraId="493DDE0F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adres do kontaktów;</w:t>
      </w:r>
    </w:p>
    <w:p w14:paraId="657CAEBA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lastRenderedPageBreak/>
        <w:t>3)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załączniki - dowody lub dokumenty istotne w sprawie;</w:t>
      </w:r>
    </w:p>
    <w:p w14:paraId="7B481399" w14:textId="77777777" w:rsidR="00E7676D" w:rsidRPr="00A82E66" w:rsidRDefault="00E7676D" w:rsidP="001958B4">
      <w:pPr>
        <w:spacing w:before="120" w:after="120"/>
        <w:ind w:left="340" w:hanging="227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4)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podpis osoby zgłaszającej, jeśli zgłoszenia dokonano w formie pisemnej.</w:t>
      </w:r>
    </w:p>
    <w:p w14:paraId="1724C25B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Zgłoszenia anonimowe nie będą przyjmowane ani rozpatrywane.</w:t>
      </w:r>
    </w:p>
    <w:p w14:paraId="7840D494" w14:textId="7342C597" w:rsidR="00E7676D" w:rsidRPr="00A82E66" w:rsidRDefault="001958B4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eastAsia="Times New Roman" w:hAnsi="Arial" w:cs="Arial"/>
          <w:b/>
          <w:sz w:val="22"/>
          <w:szCs w:val="22"/>
        </w:rPr>
        <w:t>§ 3</w:t>
      </w:r>
      <w:r w:rsidR="00E7676D" w:rsidRPr="00A82E66">
        <w:rPr>
          <w:rFonts w:ascii="Arial" w:eastAsia="Times New Roman" w:hAnsi="Arial" w:cs="Arial"/>
          <w:b/>
          <w:sz w:val="22"/>
          <w:szCs w:val="22"/>
        </w:rPr>
        <w:t>. </w:t>
      </w:r>
      <w:r w:rsidR="00E7676D" w:rsidRPr="00A82E66">
        <w:rPr>
          <w:rFonts w:ascii="Arial" w:eastAsia="Times New Roman" w:hAnsi="Arial" w:cs="Arial"/>
          <w:sz w:val="22"/>
          <w:szCs w:val="22"/>
        </w:rPr>
        <w:t>1. </w:t>
      </w:r>
      <w:r>
        <w:rPr>
          <w:rFonts w:ascii="Arial" w:eastAsia="Times New Roman" w:hAnsi="Arial" w:cs="Arial"/>
          <w:color w:val="000000"/>
          <w:sz w:val="22"/>
          <w:szCs w:val="22"/>
          <w:u w:color="000000"/>
        </w:rPr>
        <w:t>Starosta</w:t>
      </w:r>
      <w:r w:rsidR="00E7676D"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upoważni człon</w:t>
      </w:r>
      <w:r>
        <w:rPr>
          <w:rFonts w:ascii="Arial" w:eastAsia="Times New Roman" w:hAnsi="Arial" w:cs="Arial"/>
          <w:color w:val="000000"/>
          <w:sz w:val="22"/>
          <w:szCs w:val="22"/>
          <w:u w:color="000000"/>
        </w:rPr>
        <w:t>ków Komisji, o której mowa w § 1</w:t>
      </w:r>
      <w:r w:rsidR="00E7676D"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 ust. 6 do działania w je</w:t>
      </w:r>
      <w:r>
        <w:rPr>
          <w:rFonts w:ascii="Arial" w:eastAsia="Times New Roman" w:hAnsi="Arial" w:cs="Arial"/>
          <w:color w:val="000000"/>
          <w:sz w:val="22"/>
          <w:szCs w:val="22"/>
          <w:u w:color="000000"/>
        </w:rPr>
        <w:t>go</w:t>
      </w:r>
      <w:r w:rsidR="00E7676D"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imieniu w związku z przyjmowaniem i rozpatrywaniem zgłoszeń zewnętrznych, dokonywania ich wstępnej weryfikacji, podejmowania działań następczych oraz związanego z tym przetwarzania danych osobowych, kontaktu z sygnalistą w celu przekazywania informacji zwrotnych i - w razie potrzeby - zwracania się o wyjaśnienia lub dodatkowe informacje w zakresie przekazanych informacji, jakie mogą być w jego posiadaniu, przekazywania zainteresowanym osobom informacji na temat procedury zgłoszeń zewnętrznych, prowadzenia rejestru zgłoszeń wewnętrznych, przekazania zgłoszenia do organu publicznego właściwego do podjęcia działań naprawczych oraz przekazywania sygnaliście informacji zwrotnej.</w:t>
      </w:r>
    </w:p>
    <w:p w14:paraId="6A282275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Przewodniczący Komisji, a pod jego nieobecność zastępca przewodniczącego Komisji, zwołuje posiedzenia Komisji i kieruje jej pracami.</w:t>
      </w:r>
    </w:p>
    <w:p w14:paraId="20BEC38A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Przed przystąpieniem do pracy w Komisji, osoby wchodzące w jej skład składają oświadczenia o zapoznaniu się z niniejszą procedurą oraz zobowiązanie do zachowania tajemnicy. Oświadczenie przechowywane jest w aktach osobowych.</w:t>
      </w:r>
    </w:p>
    <w:p w14:paraId="51604139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4. 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W przypadku gdy zgłoszenie nieprawidłowości dotyczy członka Komisji lub jego osoby najbliższej w rozumieniu art. 115 § 11 ustawy z dnia 6 czerwca 1997 r. Kodeks karny (Dz. U. z 2024 r. poz. 17 ze zm.), członek ten jest automatycznie wyłączony z prac Komisji.</w:t>
      </w:r>
    </w:p>
    <w:p w14:paraId="74B31B78" w14:textId="04F57019" w:rsidR="00E7676D" w:rsidRPr="00A82E66" w:rsidRDefault="001958B4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eastAsia="Times New Roman" w:hAnsi="Arial" w:cs="Arial"/>
          <w:b/>
          <w:sz w:val="22"/>
          <w:szCs w:val="22"/>
        </w:rPr>
        <w:t>§ 4</w:t>
      </w:r>
      <w:r w:rsidR="00E7676D" w:rsidRPr="00A82E66">
        <w:rPr>
          <w:rFonts w:ascii="Arial" w:eastAsia="Times New Roman" w:hAnsi="Arial" w:cs="Arial"/>
          <w:b/>
          <w:sz w:val="22"/>
          <w:szCs w:val="22"/>
        </w:rPr>
        <w:t>. </w:t>
      </w:r>
      <w:r w:rsidR="00E7676D" w:rsidRPr="00A82E66">
        <w:rPr>
          <w:rFonts w:ascii="Arial" w:eastAsia="Times New Roman" w:hAnsi="Arial" w:cs="Arial"/>
          <w:sz w:val="22"/>
          <w:szCs w:val="22"/>
        </w:rPr>
        <w:t>1. </w:t>
      </w:r>
      <w:r w:rsidR="00E7676D"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Komisja ocenia wstępnie zgłoszenie pod kątem formalnym, sprawdzając czy zostało złożone przez sygnalistę i czy przedmiotem zgłoszenia jest naruszenie, o którym mowa w art. 3 ust. 1 ustawy o ochronie sygnalistów oraz tego, czy dotyczy naruszeń prawa w dziedzinie należącej do zakresu działania Rady.</w:t>
      </w:r>
    </w:p>
    <w:p w14:paraId="1631BCCA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Jeśli Komisja stwierdzi, że zgłoszenie nie dotyczy informacji o naruszeniu prawa, odstępuje od przekazania zgłoszenia zewnętrznego do organu publicznego właściwego do podjęcia działań następczych, informując sygnalistę o odstąpieniu, podając ustalenia ze wstępnej weryfikacji zgłoszenia.</w:t>
      </w:r>
    </w:p>
    <w:p w14:paraId="0D243DF8" w14:textId="649CA94E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Jeżeli Komisja ustali, że zgłoszenie naruszenia prawa nie należy do dziedziny pozosta</w:t>
      </w:r>
      <w:r w:rsidR="0023645F">
        <w:rPr>
          <w:rFonts w:ascii="Arial" w:eastAsia="Times New Roman" w:hAnsi="Arial" w:cs="Arial"/>
          <w:color w:val="000000"/>
          <w:sz w:val="22"/>
          <w:szCs w:val="22"/>
          <w:u w:color="000000"/>
        </w:rPr>
        <w:t>jącej w zakresie kompetencji Starosty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, ustala organ publiczny właściwy do podjęcia działań następczych i przekazuje zgłoszenie zewnętrzne, informując o tym sygnalistę.</w:t>
      </w:r>
    </w:p>
    <w:p w14:paraId="426A097E" w14:textId="4CFF0AAF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4. 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Jeżeli zgłoszenie dotyczy naruszeń prawa w dziedzinie należącej do zakresu działania </w:t>
      </w:r>
      <w:r w:rsidR="0023645F">
        <w:rPr>
          <w:rFonts w:ascii="Arial" w:eastAsia="Times New Roman" w:hAnsi="Arial" w:cs="Arial"/>
          <w:color w:val="000000"/>
          <w:sz w:val="22"/>
          <w:szCs w:val="22"/>
          <w:u w:color="000000"/>
        </w:rPr>
        <w:t>Starosty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wszczyna postępowanie wyjaśniające, a gdy zajdzie potrzeba uzyskania dodatkowych danych, o ile to możliwe kontaktuje się z sygnalistą, w celu uzupełnienia zgłoszenia.</w:t>
      </w:r>
    </w:p>
    <w:p w14:paraId="78FAFBAA" w14:textId="0B5CE8EC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5. 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W uzasadnionych przypadkach w celu przeprowadzenia </w:t>
      </w:r>
      <w:r w:rsidR="0023645F">
        <w:rPr>
          <w:rFonts w:ascii="Arial" w:eastAsia="Times New Roman" w:hAnsi="Arial" w:cs="Arial"/>
          <w:color w:val="000000"/>
          <w:sz w:val="22"/>
          <w:szCs w:val="22"/>
          <w:u w:color="000000"/>
        </w:rPr>
        <w:t>postępowania wyjaśniającego Starosta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może przekazać zgłoszenie zewnętrzne jednostce organizacyjnej Powiatu Siemiatyckiego lub innej jednostce organizacyjnej, której powierzono zadania w drodze porozumienia.</w:t>
      </w:r>
    </w:p>
    <w:p w14:paraId="4F95A13E" w14:textId="4E7EC7EA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lastRenderedPageBreak/>
        <w:t>6. </w:t>
      </w:r>
      <w:r w:rsidR="0023645F">
        <w:rPr>
          <w:rFonts w:ascii="Arial" w:eastAsia="Times New Roman" w:hAnsi="Arial" w:cs="Arial"/>
          <w:color w:val="000000"/>
          <w:sz w:val="22"/>
          <w:szCs w:val="22"/>
          <w:u w:color="000000"/>
        </w:rPr>
        <w:t>Starosta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może nie podjąć działań następczych w przypadku, gdy w zgłoszeniu zewnętrznym dotyczącym sprawy będącej już przedmiotem wcześniejszego zgłoszenia przez tego samego lub innego sygnalistę nie zawarto istotnych nowych informacji na temat naruszeń prawa w porównaniu z wcześniejszym zgłoszeniem zewn</w:t>
      </w:r>
      <w:r w:rsidR="0023645F">
        <w:rPr>
          <w:rFonts w:ascii="Arial" w:eastAsia="Times New Roman" w:hAnsi="Arial" w:cs="Arial"/>
          <w:color w:val="000000"/>
          <w:sz w:val="22"/>
          <w:szCs w:val="22"/>
          <w:u w:color="000000"/>
        </w:rPr>
        <w:t>ętrznym. Starosta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informuje sygnalistę o niepodjęciu działań następczych, podając uzasadnienie, a w razie kolejnego zgłoszenia - pozostawia je bez rozpoznania i nie informuje o tym sygnalisty.</w:t>
      </w:r>
    </w:p>
    <w:p w14:paraId="3A57A45C" w14:textId="4AEF0134" w:rsidR="00E7676D" w:rsidRPr="00A82E66" w:rsidRDefault="0023645F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eastAsia="Times New Roman" w:hAnsi="Arial" w:cs="Arial"/>
          <w:b/>
          <w:sz w:val="22"/>
          <w:szCs w:val="22"/>
        </w:rPr>
        <w:t>§ 5</w:t>
      </w:r>
      <w:r w:rsidR="00E7676D" w:rsidRPr="00A82E66">
        <w:rPr>
          <w:rFonts w:ascii="Arial" w:eastAsia="Times New Roman" w:hAnsi="Arial" w:cs="Arial"/>
          <w:b/>
          <w:sz w:val="22"/>
          <w:szCs w:val="22"/>
        </w:rPr>
        <w:t>. </w:t>
      </w:r>
      <w:r w:rsidR="00E7676D" w:rsidRPr="00A82E66">
        <w:rPr>
          <w:rFonts w:ascii="Arial" w:eastAsia="Times New Roman" w:hAnsi="Arial" w:cs="Arial"/>
          <w:sz w:val="22"/>
          <w:szCs w:val="22"/>
        </w:rPr>
        <w:t>1. </w:t>
      </w:r>
      <w:r w:rsidR="00E7676D"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Komisja rozpatruje zgłoszenia zewnętrzne, podejmuje działania następcze oraz przekazuje sygnaliście informację zwrotną bez zbędnej zwłoki, jednak nie później niż w terminie 3 miesięcy od dnia przyjęcia zgłoszenia zewnętrznego.</w:t>
      </w:r>
    </w:p>
    <w:p w14:paraId="4F493949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W uzasadnionych przypadkach Komisja przekazuje sygnaliście informację zwrotną w terminie nieprzekraczającym 6 miesięcy od dnia przyjęcia zgłoszenia zewnętrznego, po poinformowaniu o tym sygnalisty przed upływem terminu, o którym mowa w ust. 1.</w:t>
      </w:r>
    </w:p>
    <w:p w14:paraId="47277385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Komisja informuje sygnalistę także o ostatecznym wyniku postępowań wyjaśniających wszczętych na skutek zgłoszenia zewnętrznego.</w:t>
      </w:r>
    </w:p>
    <w:p w14:paraId="4F879287" w14:textId="0AAA3181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4. 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Jeżeli w zgłoszeniu zewnętrznym nie podjęto adresu do kontaktu ani nie jest możliwe ustalenie tego adresu na podstawie posiadanych danych Komisja nie realizuje obowiązków, o których mowa w ust. 1-3 oraz w § </w:t>
      </w:r>
      <w:r w:rsidR="0023645F">
        <w:rPr>
          <w:rFonts w:ascii="Arial" w:eastAsia="Times New Roman" w:hAnsi="Arial" w:cs="Arial"/>
          <w:color w:val="000000"/>
          <w:sz w:val="22"/>
          <w:szCs w:val="22"/>
          <w:u w:color="000000"/>
        </w:rPr>
        <w:t>4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 ust. 2 i 3.</w:t>
      </w:r>
    </w:p>
    <w:p w14:paraId="1F0D1D63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5. 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Komisja rozpatruje zgłoszenia z zachowaniem bezstronności i poufności, w szczególności w zakresie możliwości ustalenia tożsamości sygnalisty oraz podlega pod regulacje prawne dotyczące przetwarzania danych osobowych.</w:t>
      </w:r>
    </w:p>
    <w:p w14:paraId="552D185C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6. 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Komisja dokonuje sprawdzenia zasadności zgłoszenia w postepowaniu wyjaśniającym z uwzględnieniem rodzaju i charakteru zgłoszenia, z zastrzeżeniem zachowania zasad poufności.</w:t>
      </w:r>
    </w:p>
    <w:p w14:paraId="3E0C6082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7. 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Komisja ma prawo wglądu w akta spraw, danych zawartych w programach, kopiach zapasowych plików oraz zapoznania się z nagraniami i innymi danymi związanymi ze zgłoszonym naruszeniem, w celu przeprowadzenia postepowania wyjaśniającego.</w:t>
      </w:r>
    </w:p>
    <w:p w14:paraId="7BDF21F5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8. 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W przypadku gdy zajdzie taka konieczność Komisja może wezwać na posiedzenie świadków, którzy mogą mieć związek lub wiedzę w zakresie zgłoszenia lub sygnalistę, w celu złożenia dodatkowych wyjaśnień.</w:t>
      </w:r>
    </w:p>
    <w:p w14:paraId="3A269FD4" w14:textId="5B4928E1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9. 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Jeżeli weryfikacja zgłoszenia zewnętrznego wymaga wiadomości specjalnych, przewodniczący Komisji m</w:t>
      </w:r>
      <w:r w:rsidR="0023645F">
        <w:rPr>
          <w:rFonts w:ascii="Arial" w:eastAsia="Times New Roman" w:hAnsi="Arial" w:cs="Arial"/>
          <w:color w:val="000000"/>
          <w:sz w:val="22"/>
          <w:szCs w:val="22"/>
          <w:u w:color="000000"/>
        </w:rPr>
        <w:t>oże wystąpić z wnioskiem do Starosty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o upoważnienie podmiotu zewnętrznego do podejmowania działań następczych, w celu zasięgnięcia jego opinii.</w:t>
      </w:r>
    </w:p>
    <w:p w14:paraId="76CE4A2D" w14:textId="0CE1B98F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sz w:val="22"/>
          <w:szCs w:val="22"/>
        </w:rPr>
        <w:t>§ </w:t>
      </w:r>
      <w:r w:rsidR="0023645F">
        <w:rPr>
          <w:rFonts w:ascii="Arial" w:eastAsia="Times New Roman" w:hAnsi="Arial" w:cs="Arial"/>
          <w:b/>
          <w:sz w:val="22"/>
          <w:szCs w:val="22"/>
        </w:rPr>
        <w:t>6</w:t>
      </w:r>
      <w:r w:rsidRPr="00A82E66">
        <w:rPr>
          <w:rFonts w:ascii="Arial" w:eastAsia="Times New Roman" w:hAnsi="Arial" w:cs="Arial"/>
          <w:b/>
          <w:sz w:val="22"/>
          <w:szCs w:val="22"/>
        </w:rPr>
        <w:t>. </w:t>
      </w:r>
      <w:r w:rsidRPr="00A82E66">
        <w:rPr>
          <w:rFonts w:ascii="Arial" w:eastAsia="Times New Roman" w:hAnsi="Arial" w:cs="Arial"/>
          <w:sz w:val="22"/>
          <w:szCs w:val="22"/>
        </w:rPr>
        <w:t>1. 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Postępowanie wyjaśniające prowadzone przez Komisję kończy się przyjęciem raportu podsumowującego zawierającego ustalenia w zakresie stanu faktycznego sprawy, ustalenie, czy zarzut postawiony w zgłoszeniu jest zasadny oraz rekomendowane działania następcze, a w szczególności rekomendacje o celowości przekazania informacji zawartych w zgłoszeniu zewnętrznym do instytucji, organu lub jednostki organizacyjnej Unii Europejskiej w celu prowadzenia działań następczych w trybie stosowanym przez takie instytucje, organy lub jednostki.</w:t>
      </w:r>
    </w:p>
    <w:p w14:paraId="63008918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Decyzje Komisji zapadają zwykłą większością głosów.</w:t>
      </w:r>
    </w:p>
    <w:p w14:paraId="26985B86" w14:textId="5E082E2D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3. 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W przypadku różnicy zdań między członka</w:t>
      </w:r>
      <w:r w:rsidR="0023645F">
        <w:rPr>
          <w:rFonts w:ascii="Arial" w:eastAsia="Times New Roman" w:hAnsi="Arial" w:cs="Arial"/>
          <w:color w:val="000000"/>
          <w:sz w:val="22"/>
          <w:szCs w:val="22"/>
          <w:u w:color="000000"/>
        </w:rPr>
        <w:t>mi Komisji w sprawie oceny postę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powania w związku ze zgłoszeniem sygnalisty, każdy członek Komisji ma prawo dołączyć do raportu Komisji zdanie odrębne.</w:t>
      </w:r>
    </w:p>
    <w:p w14:paraId="3DFBFC8C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lastRenderedPageBreak/>
        <w:t>4. 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Wyjaśnienia składane przez sygnalistę, świadków i inne osoby, utrwalane są w formie protokołu i stanowią załącznik do raportu.</w:t>
      </w:r>
    </w:p>
    <w:p w14:paraId="07144AAC" w14:textId="512E59D5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sz w:val="22"/>
          <w:szCs w:val="22"/>
        </w:rPr>
        <w:t>§ </w:t>
      </w:r>
      <w:r w:rsidR="00D42AEF">
        <w:rPr>
          <w:rFonts w:ascii="Arial" w:eastAsia="Times New Roman" w:hAnsi="Arial" w:cs="Arial"/>
          <w:b/>
          <w:sz w:val="22"/>
          <w:szCs w:val="22"/>
        </w:rPr>
        <w:t>7</w:t>
      </w:r>
      <w:r w:rsidRPr="00A82E66">
        <w:rPr>
          <w:rFonts w:ascii="Arial" w:eastAsia="Times New Roman" w:hAnsi="Arial" w:cs="Arial"/>
          <w:b/>
          <w:sz w:val="22"/>
          <w:szCs w:val="22"/>
        </w:rPr>
        <w:t>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Raport, o którym mowa w § </w:t>
      </w:r>
      <w:r w:rsidR="00D42AEF">
        <w:rPr>
          <w:rFonts w:ascii="Arial" w:eastAsia="Times New Roman" w:hAnsi="Arial" w:cs="Arial"/>
          <w:color w:val="000000"/>
          <w:sz w:val="22"/>
          <w:szCs w:val="22"/>
          <w:u w:color="000000"/>
        </w:rPr>
        <w:t>6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 ust. 1 przewodniczący Komisji przekazuje </w:t>
      </w:r>
      <w:r w:rsidR="00E40433">
        <w:rPr>
          <w:rFonts w:ascii="Arial" w:eastAsia="Times New Roman" w:hAnsi="Arial" w:cs="Arial"/>
          <w:color w:val="000000"/>
          <w:sz w:val="22"/>
          <w:szCs w:val="22"/>
          <w:u w:color="000000"/>
        </w:rPr>
        <w:t>Staroście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w terminie 5 dni roboczych od dnia jego podjęcia.</w:t>
      </w:r>
    </w:p>
    <w:p w14:paraId="30816AB9" w14:textId="77777777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sz w:val="22"/>
          <w:szCs w:val="22"/>
        </w:rPr>
        <w:t>§ 9. </w:t>
      </w:r>
      <w:r w:rsidRPr="00A82E66">
        <w:rPr>
          <w:rFonts w:ascii="Arial" w:eastAsia="Times New Roman" w:hAnsi="Arial" w:cs="Arial"/>
          <w:sz w:val="22"/>
          <w:szCs w:val="22"/>
        </w:rPr>
        <w:t>1. 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Rejestr zgłoszeń zewnętrznych prowadzony jest w postaci papierowej.</w:t>
      </w:r>
    </w:p>
    <w:p w14:paraId="6FE8048F" w14:textId="341E2082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sz w:val="22"/>
          <w:szCs w:val="22"/>
        </w:rPr>
        <w:t>2. 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Komis</w:t>
      </w:r>
      <w:r w:rsidR="00D42AEF">
        <w:rPr>
          <w:rFonts w:ascii="Arial" w:eastAsia="Times New Roman" w:hAnsi="Arial" w:cs="Arial"/>
          <w:color w:val="000000"/>
          <w:sz w:val="22"/>
          <w:szCs w:val="22"/>
          <w:u w:color="000000"/>
        </w:rPr>
        <w:t>ja sporządza i przekazuje Staroście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, do końca lutego każdego roku, sprawozdanie za rok poprzedni zawierające dane statystyczne, o których mowa w art. 47 ustawy o ochronie sygnalistów, dotyczące zgłoszeń zewnętrznych.</w:t>
      </w:r>
    </w:p>
    <w:p w14:paraId="3303DB7C" w14:textId="34CAC722" w:rsidR="00E7676D" w:rsidRPr="00A82E66" w:rsidRDefault="00E7676D" w:rsidP="001958B4">
      <w:pPr>
        <w:keepLines/>
        <w:spacing w:before="120" w:after="120"/>
        <w:ind w:firstLine="34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sz w:val="22"/>
          <w:szCs w:val="22"/>
        </w:rPr>
        <w:t>§ 10. </w:t>
      </w:r>
      <w:r w:rsidR="00D42AEF">
        <w:rPr>
          <w:rFonts w:ascii="Arial" w:eastAsia="Times New Roman" w:hAnsi="Arial" w:cs="Arial"/>
          <w:color w:val="000000"/>
          <w:sz w:val="22"/>
          <w:szCs w:val="22"/>
          <w:u w:color="000000"/>
        </w:rPr>
        <w:t>Sekretarz Powiatu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nie rzadziej niż raz na trzy lata dokonuje przeglądu przepisów niniejszej procedury, przedstawiając jej wyniki </w:t>
      </w:r>
      <w:r w:rsidR="00D42AEF">
        <w:rPr>
          <w:rFonts w:ascii="Arial" w:eastAsia="Times New Roman" w:hAnsi="Arial" w:cs="Arial"/>
          <w:color w:val="000000"/>
          <w:sz w:val="22"/>
          <w:szCs w:val="22"/>
          <w:u w:color="000000"/>
        </w:rPr>
        <w:t>Staroście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, </w:t>
      </w:r>
      <w:r w:rsidR="00D42AEF">
        <w:rPr>
          <w:rFonts w:ascii="Arial" w:eastAsia="Times New Roman" w:hAnsi="Arial" w:cs="Arial"/>
          <w:color w:val="000000"/>
          <w:sz w:val="22"/>
          <w:szCs w:val="22"/>
          <w:u w:color="000000"/>
        </w:rPr>
        <w:t>wraz z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propozycj</w:t>
      </w:r>
      <w:r w:rsidR="00D42AEF">
        <w:rPr>
          <w:rFonts w:ascii="Arial" w:eastAsia="Times New Roman" w:hAnsi="Arial" w:cs="Arial"/>
          <w:color w:val="000000"/>
          <w:sz w:val="22"/>
          <w:szCs w:val="22"/>
          <w:u w:color="000000"/>
        </w:rPr>
        <w:t>ami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dostosowania procedury do wyników dokonanego przeg</w:t>
      </w:r>
      <w:r w:rsidR="00D42AEF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lądu oraz doświadczenia, w tym 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innych organów publicznych.</w:t>
      </w:r>
    </w:p>
    <w:p w14:paraId="3FB477B5" w14:textId="0EDB50F0" w:rsidR="00A82E66" w:rsidRDefault="00E7676D" w:rsidP="008F2C2A">
      <w:pPr>
        <w:keepLines/>
        <w:spacing w:before="120" w:after="120"/>
        <w:ind w:firstLine="340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</w:rPr>
      </w:pPr>
      <w:r w:rsidRPr="00A82E66">
        <w:rPr>
          <w:rFonts w:ascii="Arial" w:eastAsia="Times New Roman" w:hAnsi="Arial" w:cs="Arial"/>
          <w:b/>
          <w:color w:val="000000"/>
          <w:sz w:val="22"/>
          <w:szCs w:val="22"/>
          <w:u w:color="000000"/>
        </w:rPr>
        <w:t>§ 11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>. Zobowią</w:t>
      </w:r>
      <w:r w:rsidR="00D42AEF">
        <w:rPr>
          <w:rFonts w:ascii="Arial" w:eastAsia="Times New Roman" w:hAnsi="Arial" w:cs="Arial"/>
          <w:color w:val="000000"/>
          <w:sz w:val="22"/>
          <w:szCs w:val="22"/>
          <w:u w:color="000000"/>
        </w:rPr>
        <w:t>zuje się Sekretarza Powiatu</w:t>
      </w:r>
      <w:r w:rsidRPr="00A82E66">
        <w:rPr>
          <w:rFonts w:ascii="Arial" w:eastAsia="Times New Roman" w:hAnsi="Arial" w:cs="Arial"/>
          <w:color w:val="000000"/>
          <w:sz w:val="22"/>
          <w:szCs w:val="22"/>
          <w:u w:color="000000"/>
        </w:rPr>
        <w:t xml:space="preserve"> do zamieszczenia na stronie Biuletynu Informacji Publicznej Powiatu Siemiatyckiego w oddzielnej, łatwo identyfikowalnej i dostępnej sekcji informacji, o których mowa w § 48 ustawy o ochronie sygnalistów.</w:t>
      </w:r>
    </w:p>
    <w:p w14:paraId="09614023" w14:textId="77777777" w:rsidR="00A82E66" w:rsidRDefault="00A82E66" w:rsidP="00A82E66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u w:color="000000"/>
        </w:rPr>
      </w:pPr>
    </w:p>
    <w:p w14:paraId="1670E044" w14:textId="58C31581" w:rsidR="00AA390A" w:rsidRPr="009B1825" w:rsidRDefault="00AA390A" w:rsidP="00B575C1">
      <w:pPr>
        <w:spacing w:after="0" w:line="360" w:lineRule="auto"/>
        <w:rPr>
          <w:rFonts w:ascii="Arial" w:hAnsi="Arial" w:cs="Arial"/>
          <w:sz w:val="22"/>
          <w:szCs w:val="22"/>
        </w:rPr>
      </w:pPr>
    </w:p>
    <w:sectPr w:rsidR="00AA390A" w:rsidRPr="009B1825" w:rsidSect="004032D6">
      <w:footerReference w:type="even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6031B" w14:textId="77777777" w:rsidR="00776D0C" w:rsidRDefault="00776D0C" w:rsidP="00D12000">
      <w:pPr>
        <w:spacing w:after="0" w:line="240" w:lineRule="auto"/>
      </w:pPr>
      <w:r>
        <w:separator/>
      </w:r>
    </w:p>
  </w:endnote>
  <w:endnote w:type="continuationSeparator" w:id="0">
    <w:p w14:paraId="09440A40" w14:textId="77777777" w:rsidR="00776D0C" w:rsidRDefault="00776D0C" w:rsidP="00D1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06509089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7BE75B7" w14:textId="51E3859D" w:rsidR="005A1389" w:rsidRDefault="005A1389" w:rsidP="005A138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5E3303D" w14:textId="77777777" w:rsidR="005A1389" w:rsidRDefault="005A1389" w:rsidP="00D1200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4F38D" w14:textId="77777777" w:rsidR="005A1389" w:rsidRDefault="005A1389" w:rsidP="00D12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8BA2C" w14:textId="77777777" w:rsidR="00776D0C" w:rsidRDefault="00776D0C" w:rsidP="00D12000">
      <w:pPr>
        <w:spacing w:after="0" w:line="240" w:lineRule="auto"/>
      </w:pPr>
      <w:r>
        <w:separator/>
      </w:r>
    </w:p>
  </w:footnote>
  <w:footnote w:type="continuationSeparator" w:id="0">
    <w:p w14:paraId="54C0F538" w14:textId="77777777" w:rsidR="00776D0C" w:rsidRDefault="00776D0C" w:rsidP="00D1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F8A"/>
    <w:multiLevelType w:val="multilevel"/>
    <w:tmpl w:val="F8B4C5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B141BE"/>
    <w:multiLevelType w:val="hybridMultilevel"/>
    <w:tmpl w:val="A9F6CAB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9D565F8"/>
    <w:multiLevelType w:val="multilevel"/>
    <w:tmpl w:val="E7DA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065A0"/>
    <w:multiLevelType w:val="hybridMultilevel"/>
    <w:tmpl w:val="B49E8DE4"/>
    <w:lvl w:ilvl="0" w:tplc="D01EB2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94610B"/>
    <w:multiLevelType w:val="hybridMultilevel"/>
    <w:tmpl w:val="257A3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5FF7"/>
    <w:multiLevelType w:val="multilevel"/>
    <w:tmpl w:val="C1FC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17BA3"/>
    <w:multiLevelType w:val="multilevel"/>
    <w:tmpl w:val="181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041C4"/>
    <w:multiLevelType w:val="multilevel"/>
    <w:tmpl w:val="824A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044A3"/>
    <w:multiLevelType w:val="hybridMultilevel"/>
    <w:tmpl w:val="C20E4E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CAE3DB5"/>
    <w:multiLevelType w:val="hybridMultilevel"/>
    <w:tmpl w:val="F1387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1498C"/>
    <w:multiLevelType w:val="hybridMultilevel"/>
    <w:tmpl w:val="9F0E8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7FAE"/>
    <w:multiLevelType w:val="multilevel"/>
    <w:tmpl w:val="4B742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755A56"/>
    <w:multiLevelType w:val="hybridMultilevel"/>
    <w:tmpl w:val="99FAA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0B6B"/>
    <w:multiLevelType w:val="multilevel"/>
    <w:tmpl w:val="6B96D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26D9E"/>
    <w:multiLevelType w:val="hybridMultilevel"/>
    <w:tmpl w:val="3EEE95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51B5E5D"/>
    <w:multiLevelType w:val="hybridMultilevel"/>
    <w:tmpl w:val="A0F8E42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9643CF3"/>
    <w:multiLevelType w:val="multilevel"/>
    <w:tmpl w:val="BC9C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107A49"/>
    <w:multiLevelType w:val="hybridMultilevel"/>
    <w:tmpl w:val="6754672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F64709F"/>
    <w:multiLevelType w:val="hybridMultilevel"/>
    <w:tmpl w:val="3572C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A546F"/>
    <w:multiLevelType w:val="multilevel"/>
    <w:tmpl w:val="5E2C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B620F5"/>
    <w:multiLevelType w:val="multilevel"/>
    <w:tmpl w:val="83F2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E22CAA"/>
    <w:multiLevelType w:val="hybridMultilevel"/>
    <w:tmpl w:val="74A66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16C2F"/>
    <w:multiLevelType w:val="multilevel"/>
    <w:tmpl w:val="42EA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6558A4"/>
    <w:multiLevelType w:val="multilevel"/>
    <w:tmpl w:val="87D0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342AB2"/>
    <w:multiLevelType w:val="multilevel"/>
    <w:tmpl w:val="0110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0206EC"/>
    <w:multiLevelType w:val="hybridMultilevel"/>
    <w:tmpl w:val="704C8F5E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77EE43B9"/>
    <w:multiLevelType w:val="multilevel"/>
    <w:tmpl w:val="FAF4098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8B75EAE"/>
    <w:multiLevelType w:val="multilevel"/>
    <w:tmpl w:val="1818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AF7931"/>
    <w:multiLevelType w:val="multilevel"/>
    <w:tmpl w:val="0110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FD1F02"/>
    <w:multiLevelType w:val="multilevel"/>
    <w:tmpl w:val="7A6C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22"/>
  </w:num>
  <w:num w:numId="5">
    <w:abstractNumId w:val="19"/>
  </w:num>
  <w:num w:numId="6">
    <w:abstractNumId w:val="28"/>
  </w:num>
  <w:num w:numId="7">
    <w:abstractNumId w:val="26"/>
  </w:num>
  <w:num w:numId="8">
    <w:abstractNumId w:val="2"/>
  </w:num>
  <w:num w:numId="9">
    <w:abstractNumId w:val="27"/>
  </w:num>
  <w:num w:numId="10">
    <w:abstractNumId w:val="5"/>
  </w:num>
  <w:num w:numId="11">
    <w:abstractNumId w:val="7"/>
  </w:num>
  <w:num w:numId="12">
    <w:abstractNumId w:val="29"/>
  </w:num>
  <w:num w:numId="13">
    <w:abstractNumId w:val="23"/>
  </w:num>
  <w:num w:numId="14">
    <w:abstractNumId w:val="16"/>
  </w:num>
  <w:num w:numId="15">
    <w:abstractNumId w:val="18"/>
  </w:num>
  <w:num w:numId="16">
    <w:abstractNumId w:val="4"/>
  </w:num>
  <w:num w:numId="17">
    <w:abstractNumId w:val="21"/>
  </w:num>
  <w:num w:numId="18">
    <w:abstractNumId w:val="24"/>
  </w:num>
  <w:num w:numId="19">
    <w:abstractNumId w:val="8"/>
  </w:num>
  <w:num w:numId="20">
    <w:abstractNumId w:val="3"/>
  </w:num>
  <w:num w:numId="21">
    <w:abstractNumId w:val="17"/>
  </w:num>
  <w:num w:numId="22">
    <w:abstractNumId w:val="14"/>
  </w:num>
  <w:num w:numId="23">
    <w:abstractNumId w:val="20"/>
  </w:num>
  <w:num w:numId="24">
    <w:abstractNumId w:val="12"/>
  </w:num>
  <w:num w:numId="25">
    <w:abstractNumId w:val="1"/>
  </w:num>
  <w:num w:numId="26">
    <w:abstractNumId w:val="25"/>
  </w:num>
  <w:num w:numId="27">
    <w:abstractNumId w:val="15"/>
  </w:num>
  <w:num w:numId="28">
    <w:abstractNumId w:val="9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89"/>
    <w:rsid w:val="0001189C"/>
    <w:rsid w:val="000341B0"/>
    <w:rsid w:val="0005774A"/>
    <w:rsid w:val="00057799"/>
    <w:rsid w:val="00090186"/>
    <w:rsid w:val="000902BA"/>
    <w:rsid w:val="000D3078"/>
    <w:rsid w:val="000D661B"/>
    <w:rsid w:val="000E010B"/>
    <w:rsid w:val="000F5577"/>
    <w:rsid w:val="00132201"/>
    <w:rsid w:val="00190130"/>
    <w:rsid w:val="001958B4"/>
    <w:rsid w:val="001F39A2"/>
    <w:rsid w:val="00217891"/>
    <w:rsid w:val="0023645F"/>
    <w:rsid w:val="00242689"/>
    <w:rsid w:val="00256E02"/>
    <w:rsid w:val="00290033"/>
    <w:rsid w:val="002923B5"/>
    <w:rsid w:val="002937D6"/>
    <w:rsid w:val="002A2666"/>
    <w:rsid w:val="002A52EF"/>
    <w:rsid w:val="002D3376"/>
    <w:rsid w:val="002F421A"/>
    <w:rsid w:val="00327D15"/>
    <w:rsid w:val="003D1D43"/>
    <w:rsid w:val="003E0158"/>
    <w:rsid w:val="003E4CB8"/>
    <w:rsid w:val="004032D6"/>
    <w:rsid w:val="00446FFA"/>
    <w:rsid w:val="0045291B"/>
    <w:rsid w:val="004B5765"/>
    <w:rsid w:val="004C3A86"/>
    <w:rsid w:val="004E113D"/>
    <w:rsid w:val="005006BB"/>
    <w:rsid w:val="0050665F"/>
    <w:rsid w:val="00512E52"/>
    <w:rsid w:val="00547A04"/>
    <w:rsid w:val="00556C57"/>
    <w:rsid w:val="00561164"/>
    <w:rsid w:val="00563F1D"/>
    <w:rsid w:val="0057425D"/>
    <w:rsid w:val="005A1389"/>
    <w:rsid w:val="005C50A6"/>
    <w:rsid w:val="006410F1"/>
    <w:rsid w:val="00655028"/>
    <w:rsid w:val="00656017"/>
    <w:rsid w:val="0067495E"/>
    <w:rsid w:val="00690098"/>
    <w:rsid w:val="006A00D9"/>
    <w:rsid w:val="006C3972"/>
    <w:rsid w:val="006F48C4"/>
    <w:rsid w:val="0072138C"/>
    <w:rsid w:val="0074711A"/>
    <w:rsid w:val="00755714"/>
    <w:rsid w:val="00755B81"/>
    <w:rsid w:val="007566E7"/>
    <w:rsid w:val="00776D0C"/>
    <w:rsid w:val="007A200E"/>
    <w:rsid w:val="007C3EDE"/>
    <w:rsid w:val="007F2FA7"/>
    <w:rsid w:val="007F50C7"/>
    <w:rsid w:val="00806896"/>
    <w:rsid w:val="00816640"/>
    <w:rsid w:val="00846086"/>
    <w:rsid w:val="0086524C"/>
    <w:rsid w:val="008B0F6D"/>
    <w:rsid w:val="008C40B5"/>
    <w:rsid w:val="008F2C2A"/>
    <w:rsid w:val="0092320F"/>
    <w:rsid w:val="0097328F"/>
    <w:rsid w:val="00974AE8"/>
    <w:rsid w:val="00975BBA"/>
    <w:rsid w:val="00981068"/>
    <w:rsid w:val="0099293A"/>
    <w:rsid w:val="009B1825"/>
    <w:rsid w:val="009B72DC"/>
    <w:rsid w:val="009E2ADC"/>
    <w:rsid w:val="00A115FC"/>
    <w:rsid w:val="00A418F7"/>
    <w:rsid w:val="00A74D48"/>
    <w:rsid w:val="00A82E66"/>
    <w:rsid w:val="00AA390A"/>
    <w:rsid w:val="00B27E04"/>
    <w:rsid w:val="00B37D47"/>
    <w:rsid w:val="00B55148"/>
    <w:rsid w:val="00B575C1"/>
    <w:rsid w:val="00B97EBE"/>
    <w:rsid w:val="00BC32AF"/>
    <w:rsid w:val="00C26CCE"/>
    <w:rsid w:val="00C42C7E"/>
    <w:rsid w:val="00C42D33"/>
    <w:rsid w:val="00C61189"/>
    <w:rsid w:val="00C67C0A"/>
    <w:rsid w:val="00C87D1A"/>
    <w:rsid w:val="00CC54D7"/>
    <w:rsid w:val="00CC7E22"/>
    <w:rsid w:val="00CE1813"/>
    <w:rsid w:val="00D06F7E"/>
    <w:rsid w:val="00D12000"/>
    <w:rsid w:val="00D239DA"/>
    <w:rsid w:val="00D42AEF"/>
    <w:rsid w:val="00D64A10"/>
    <w:rsid w:val="00D94C09"/>
    <w:rsid w:val="00DA2ADE"/>
    <w:rsid w:val="00DD4FD6"/>
    <w:rsid w:val="00DD7B40"/>
    <w:rsid w:val="00DE414A"/>
    <w:rsid w:val="00E17CD8"/>
    <w:rsid w:val="00E40433"/>
    <w:rsid w:val="00E7676D"/>
    <w:rsid w:val="00E87125"/>
    <w:rsid w:val="00E9753E"/>
    <w:rsid w:val="00E97F4D"/>
    <w:rsid w:val="00EE4E63"/>
    <w:rsid w:val="00EF7740"/>
    <w:rsid w:val="00F12E0C"/>
    <w:rsid w:val="00F20640"/>
    <w:rsid w:val="00F32412"/>
    <w:rsid w:val="00F35392"/>
    <w:rsid w:val="00F36275"/>
    <w:rsid w:val="00F440FD"/>
    <w:rsid w:val="00F756CF"/>
    <w:rsid w:val="00F85AA7"/>
    <w:rsid w:val="00F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E050"/>
  <w15:chartTrackingRefBased/>
  <w15:docId w15:val="{5F1C003B-146E-D549-A41F-05561C07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1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61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1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1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1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1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1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1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1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1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1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1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18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6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611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C61189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611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61189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screen-reader-text">
    <w:name w:val="screen-reader-text"/>
    <w:basedOn w:val="Domylnaczcionkaakapitu"/>
    <w:rsid w:val="00C6118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611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61189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2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00"/>
  </w:style>
  <w:style w:type="character" w:styleId="Numerstrony">
    <w:name w:val="page number"/>
    <w:basedOn w:val="Domylnaczcionkaakapitu"/>
    <w:uiPriority w:val="99"/>
    <w:semiHidden/>
    <w:unhideWhenUsed/>
    <w:rsid w:val="00D12000"/>
  </w:style>
  <w:style w:type="paragraph" w:styleId="Tekstdymka">
    <w:name w:val="Balloon Text"/>
    <w:basedOn w:val="Normalny"/>
    <w:link w:val="TekstdymkaZnak"/>
    <w:uiPriority w:val="99"/>
    <w:semiHidden/>
    <w:unhideWhenUsed/>
    <w:rsid w:val="007C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E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4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1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681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3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897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9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241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zgloszenia@siemiatyc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48A681-356F-46E5-9EBB-5DE876CF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1472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Gietka</dc:creator>
  <cp:keywords/>
  <dc:description/>
  <cp:lastModifiedBy>Agata Androsiuk</cp:lastModifiedBy>
  <cp:revision>9</cp:revision>
  <cp:lastPrinted>2024-09-16T07:14:00Z</cp:lastPrinted>
  <dcterms:created xsi:type="dcterms:W3CDTF">2024-11-28T12:56:00Z</dcterms:created>
  <dcterms:modified xsi:type="dcterms:W3CDTF">2024-12-13T11:11:00Z</dcterms:modified>
</cp:coreProperties>
</file>